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tblBorders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Pr="00ED534C" w:rsidR="00413778" w:rsidTr="63554EC3" w14:paraId="45021D9A" w14:textId="77777777">
        <w:trPr>
          <w:trHeight w:val="1440"/>
        </w:trPr>
        <w:tc>
          <w:tcPr>
            <w:tcW w:w="9245" w:type="dxa"/>
            <w:shd w:val="clear" w:color="auto" w:fill="C5E0B3" w:themeFill="accent6" w:themeFillTint="66"/>
            <w:tcMar/>
            <w:vAlign w:val="center"/>
          </w:tcPr>
          <w:p w:rsidRPr="007B1CB4" w:rsidR="00413778" w:rsidP="00A53F8F" w:rsidRDefault="00413778" w14:paraId="7ED69973" w14:textId="77777777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</w:rPr>
            </w:pPr>
          </w:p>
          <w:p w:rsidRPr="00413778" w:rsidR="00413778" w:rsidP="00413778" w:rsidRDefault="00413778" w14:paraId="1F20B666" w14:textId="665A7AEA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56"/>
                <w:szCs w:val="56"/>
              </w:rPr>
            </w:pPr>
            <w:r w:rsidRPr="00413778">
              <w:rPr>
                <w:rFonts w:asciiTheme="majorHAnsi" w:hAnsiTheme="majorHAnsi"/>
                <w:b/>
                <w:bCs/>
                <w:color w:val="000000" w:themeColor="text1"/>
                <w:sz w:val="56"/>
                <w:szCs w:val="56"/>
              </w:rPr>
              <w:t>POLÍTICA DE MEDIO AMBIENT</w:t>
            </w:r>
            <w:r w:rsidRPr="00413778">
              <w:rPr>
                <w:rFonts w:asciiTheme="majorHAnsi" w:hAnsiTheme="majorHAnsi"/>
                <w:b/>
                <w:bCs/>
                <w:color w:val="000000" w:themeColor="text1"/>
                <w:sz w:val="56"/>
                <w:szCs w:val="56"/>
              </w:rPr>
              <w:t>E</w:t>
            </w:r>
          </w:p>
        </w:tc>
      </w:tr>
    </w:tbl>
    <w:p w:rsidR="00413778" w:rsidP="00413778" w:rsidRDefault="00413778" w14:paraId="01D40BE8" w14:textId="7777777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413778" w:rsidR="00413778" w:rsidP="00413778" w:rsidRDefault="00413778" w14:paraId="2ED0BF2C" w14:textId="68D33AE9">
      <w:pPr>
        <w:spacing w:line="360" w:lineRule="auto"/>
        <w:jc w:val="both"/>
        <w:rPr>
          <w:rFonts w:asciiTheme="majorHAnsi" w:hAnsiTheme="majorHAnsi"/>
        </w:rPr>
      </w:pPr>
      <w:r w:rsidRPr="00413778">
        <w:rPr>
          <w:rFonts w:asciiTheme="majorHAnsi" w:hAnsiTheme="majorHAnsi"/>
          <w:b/>
          <w:bCs/>
        </w:rPr>
        <w:t>URGIL, S.A.</w:t>
      </w:r>
      <w:r w:rsidRPr="00413778">
        <w:rPr>
          <w:rFonts w:asciiTheme="majorHAnsi" w:hAnsiTheme="majorHAnsi"/>
        </w:rPr>
        <w:t xml:space="preserve">, está especializada en la </w:t>
      </w:r>
      <w:r w:rsidRPr="00413778">
        <w:rPr>
          <w:rFonts w:asciiTheme="majorHAnsi" w:hAnsiTheme="majorHAnsi"/>
          <w:b/>
          <w:bCs/>
          <w:color w:val="000000" w:themeColor="text1"/>
        </w:rPr>
        <w:t>“</w:t>
      </w:r>
      <w:r w:rsidRPr="00413778">
        <w:rPr>
          <w:rFonts w:asciiTheme="majorHAnsi" w:hAnsiTheme="majorHAnsi"/>
          <w:b/>
          <w:bCs/>
          <w:color w:val="000000" w:themeColor="text1"/>
        </w:rPr>
        <w:t>r</w:t>
      </w:r>
      <w:r w:rsidRPr="00413778">
        <w:rPr>
          <w:rFonts w:asciiTheme="majorHAnsi" w:hAnsiTheme="majorHAnsi"/>
          <w:b/>
          <w:bCs/>
          <w:color w:val="000000" w:themeColor="text1"/>
        </w:rPr>
        <w:t>ecuperación de residuos</w:t>
      </w:r>
      <w:r w:rsidRPr="00413778"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413778">
        <w:rPr>
          <w:rFonts w:asciiTheme="majorHAnsi" w:hAnsiTheme="majorHAnsi"/>
          <w:b/>
          <w:bCs/>
          <w:color w:val="000000" w:themeColor="text1"/>
        </w:rPr>
        <w:t xml:space="preserve">no férricos en barras y lingotes de latón y valorización de </w:t>
      </w:r>
      <w:r w:rsidRPr="00413778">
        <w:rPr>
          <w:rFonts w:asciiTheme="majorHAnsi" w:hAnsiTheme="majorHAnsi"/>
          <w:b/>
          <w:bCs/>
          <w:color w:val="000000" w:themeColor="text1"/>
        </w:rPr>
        <w:t>e</w:t>
      </w:r>
      <w:r w:rsidRPr="00413778">
        <w:rPr>
          <w:rFonts w:asciiTheme="majorHAnsi" w:hAnsiTheme="majorHAnsi"/>
          <w:b/>
          <w:bCs/>
          <w:color w:val="000000" w:themeColor="text1"/>
        </w:rPr>
        <w:t xml:space="preserve">scorias de </w:t>
      </w:r>
      <w:r w:rsidRPr="00413778">
        <w:rPr>
          <w:rFonts w:asciiTheme="majorHAnsi" w:hAnsiTheme="majorHAnsi"/>
          <w:b/>
          <w:bCs/>
          <w:color w:val="000000" w:themeColor="text1"/>
        </w:rPr>
        <w:t>l</w:t>
      </w:r>
      <w:r w:rsidRPr="00413778">
        <w:rPr>
          <w:rFonts w:asciiTheme="majorHAnsi" w:hAnsiTheme="majorHAnsi"/>
          <w:b/>
          <w:bCs/>
          <w:color w:val="000000" w:themeColor="text1"/>
        </w:rPr>
        <w:t>atón”</w:t>
      </w:r>
      <w:r w:rsidRPr="00413778">
        <w:rPr>
          <w:rFonts w:asciiTheme="majorHAnsi" w:hAnsiTheme="majorHAnsi"/>
        </w:rPr>
        <w:t>. Como empresa</w:t>
      </w:r>
      <w:r w:rsidRPr="00413778">
        <w:rPr>
          <w:rFonts w:asciiTheme="majorHAnsi" w:hAnsiTheme="majorHAnsi"/>
        </w:rPr>
        <w:t xml:space="preserve"> </w:t>
      </w:r>
      <w:r w:rsidRPr="00413778">
        <w:rPr>
          <w:rFonts w:asciiTheme="majorHAnsi" w:hAnsiTheme="majorHAnsi"/>
        </w:rPr>
        <w:t>preocupada en su entorno busca un desarrollo económico, social y ambiental sostenible.</w:t>
      </w:r>
    </w:p>
    <w:p w:rsidRPr="00413778" w:rsidR="00413778" w:rsidP="00413778" w:rsidRDefault="00413778" w14:paraId="5C7D329F" w14:textId="77777777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Pr="00413778" w:rsidR="00413778" w:rsidP="00413778" w:rsidRDefault="00413778" w14:paraId="3480ED9A" w14:textId="5148449E">
      <w:pPr>
        <w:spacing w:line="360" w:lineRule="auto"/>
        <w:jc w:val="both"/>
        <w:rPr>
          <w:rFonts w:asciiTheme="majorHAnsi" w:hAnsiTheme="majorHAnsi"/>
        </w:rPr>
      </w:pPr>
      <w:r w:rsidRPr="00413778">
        <w:rPr>
          <w:rFonts w:asciiTheme="majorHAnsi" w:hAnsiTheme="majorHAnsi"/>
        </w:rPr>
        <w:t>E</w:t>
      </w:r>
      <w:r w:rsidRPr="00413778">
        <w:rPr>
          <w:rFonts w:asciiTheme="majorHAnsi" w:hAnsiTheme="majorHAnsi"/>
        </w:rPr>
        <w:t>sta Política se basa en los siguientes principios:</w:t>
      </w:r>
    </w:p>
    <w:p w:rsidRPr="00413778" w:rsidR="00413778" w:rsidP="0212AB49" w:rsidRDefault="00413778" w14:paraId="5127EFDB" w14:textId="1E6D87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 Light" w:hAnsi="Calibri Light" w:asciiTheme="majorAscii" w:hAnsiTheme="majorAscii"/>
        </w:rPr>
      </w:pPr>
      <w:r w:rsidRPr="0212AB49" w:rsidR="00413778">
        <w:rPr>
          <w:rFonts w:ascii="Calibri Light" w:hAnsi="Calibri Light" w:asciiTheme="majorAscii" w:hAnsiTheme="majorAscii"/>
        </w:rPr>
        <w:t xml:space="preserve">Estamos comprometidos en la protección ambiental. Por ello buscamos la prevención de la contaminación, así como nos comprometemos en el uso sostenible de </w:t>
      </w:r>
      <w:r w:rsidRPr="0212AB49" w:rsidR="00413778">
        <w:rPr>
          <w:rFonts w:ascii="Calibri Light" w:hAnsi="Calibri Light" w:asciiTheme="majorAscii" w:hAnsiTheme="majorAscii"/>
        </w:rPr>
        <w:t>recursos,</w:t>
      </w:r>
      <w:r w:rsidRPr="0212AB49" w:rsidR="00413778">
        <w:rPr>
          <w:rFonts w:ascii="Calibri Light" w:hAnsi="Calibri Light" w:asciiTheme="majorAscii" w:hAnsiTheme="majorAscii"/>
        </w:rPr>
        <w:t xml:space="preserve"> así como en la mitigación de la huella de carbono.</w:t>
      </w:r>
    </w:p>
    <w:p w:rsidRPr="00413778" w:rsidR="00413778" w:rsidP="00413778" w:rsidRDefault="00413778" w14:paraId="04298645" w14:textId="78CFCE7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eastAsiaTheme="majorEastAsia" w:cstheme="majorBidi"/>
        </w:rPr>
      </w:pPr>
      <w:r w:rsidRPr="00413778">
        <w:rPr>
          <w:rFonts w:asciiTheme="majorHAnsi" w:hAnsiTheme="majorHAnsi"/>
        </w:rPr>
        <w:t xml:space="preserve">Estamos comprometidos en la mejora continua del sistema de gestión ambiental para el desempeño ambiental. Para ello aplicamos en las </w:t>
      </w:r>
      <w:r w:rsidR="000A1DFB">
        <w:rPr>
          <w:rFonts w:asciiTheme="majorHAnsi" w:hAnsiTheme="majorHAnsi"/>
        </w:rPr>
        <w:t>m</w:t>
      </w:r>
      <w:r w:rsidRPr="00413778">
        <w:rPr>
          <w:rFonts w:asciiTheme="majorHAnsi" w:hAnsiTheme="majorHAnsi"/>
        </w:rPr>
        <w:t xml:space="preserve">ejores </w:t>
      </w:r>
      <w:r w:rsidR="000A1DFB">
        <w:rPr>
          <w:rFonts w:asciiTheme="majorHAnsi" w:hAnsiTheme="majorHAnsi"/>
        </w:rPr>
        <w:t>t</w:t>
      </w:r>
      <w:r w:rsidRPr="00413778">
        <w:rPr>
          <w:rFonts w:asciiTheme="majorHAnsi" w:hAnsiTheme="majorHAnsi"/>
        </w:rPr>
        <w:t xml:space="preserve">écnicas </w:t>
      </w:r>
      <w:r w:rsidR="000A1DFB">
        <w:rPr>
          <w:rFonts w:asciiTheme="majorHAnsi" w:hAnsiTheme="majorHAnsi"/>
        </w:rPr>
        <w:t>d</w:t>
      </w:r>
      <w:r w:rsidRPr="00413778">
        <w:rPr>
          <w:rFonts w:asciiTheme="majorHAnsi" w:hAnsiTheme="majorHAnsi"/>
        </w:rPr>
        <w:t>isponibles para reducir el impacto ambiental.</w:t>
      </w:r>
    </w:p>
    <w:p w:rsidRPr="00413778" w:rsidR="00413778" w:rsidP="00413778" w:rsidRDefault="00413778" w14:paraId="4810B326" w14:textId="777777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eastAsiaTheme="majorEastAsia" w:cstheme="majorBidi"/>
        </w:rPr>
      </w:pPr>
      <w:r w:rsidRPr="00413778">
        <w:rPr>
          <w:rFonts w:asciiTheme="majorHAnsi" w:hAnsiTheme="majorHAnsi"/>
        </w:rPr>
        <w:t>Nos comprometemos ir más allá del cumplimiento de la legislación y normativas referentes a la protección Ambiental.</w:t>
      </w:r>
    </w:p>
    <w:p w:rsidRPr="00413778" w:rsidR="00413778" w:rsidP="00413778" w:rsidRDefault="00413778" w14:paraId="43B5877B" w14:textId="777777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413778">
        <w:rPr>
          <w:rFonts w:asciiTheme="majorHAnsi" w:hAnsiTheme="majorHAnsi"/>
        </w:rPr>
        <w:t xml:space="preserve">Mantenemos una relación fluida con los vecinos y grupos de interés para conocer mejor sus expectativas y lograr en la medida de lo posible su bienestar y satisfacción. Por ello aplicamos una política de transparencia en la comunicación ambiental, comunicando la política ambiental a través de la web. </w:t>
      </w:r>
    </w:p>
    <w:p w:rsidRPr="00413778" w:rsidR="00413778" w:rsidP="00413778" w:rsidRDefault="00413778" w14:paraId="261B48E2" w14:textId="777777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413778">
        <w:rPr>
          <w:rFonts w:asciiTheme="majorHAnsi" w:hAnsiTheme="majorHAnsi"/>
        </w:rPr>
        <w:t>Nuestro activo más valioso es nuestro equipo humano. Buscamos su implicación en la mejora continua.</w:t>
      </w:r>
    </w:p>
    <w:p w:rsidRPr="00413778" w:rsidR="00413778" w:rsidP="00413778" w:rsidRDefault="00413778" w14:paraId="7FC7DFB6" w14:textId="1EC8CBA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413778">
        <w:rPr>
          <w:rFonts w:asciiTheme="majorHAnsi" w:hAnsiTheme="majorHAnsi"/>
        </w:rPr>
        <w:t>Nuestros proveedores son clave en nuestro negocio, ellos nos ayudan a reciclar residuos de sus clientes, minimizando así el uso de recursos para la refinería.</w:t>
      </w:r>
    </w:p>
    <w:p w:rsidRPr="00413778" w:rsidR="00413778" w:rsidP="00413778" w:rsidRDefault="00413778" w14:paraId="3CF655D9" w14:textId="77777777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Pr="00413778" w:rsidR="00413778" w:rsidP="00413778" w:rsidRDefault="00413778" w14:paraId="31DE529D" w14:textId="31EF1B48">
      <w:pPr>
        <w:spacing w:line="360" w:lineRule="auto"/>
        <w:jc w:val="both"/>
        <w:rPr>
          <w:rFonts w:asciiTheme="majorHAnsi" w:hAnsiTheme="majorHAnsi"/>
        </w:rPr>
      </w:pPr>
      <w:r w:rsidRPr="00413778">
        <w:rPr>
          <w:rFonts w:asciiTheme="majorHAnsi" w:hAnsiTheme="majorHAnsi"/>
        </w:rPr>
        <w:t>Para garantizar la mejora continua en URGIL, S.A., anualmente se establecen objetivos de gestión ambiental en el marco de la Revisión por la Dirección.</w:t>
      </w:r>
    </w:p>
    <w:p w:rsidR="000A1DFB" w:rsidP="00413778" w:rsidRDefault="000A1DFB" w14:paraId="098F41DD" w14:textId="77777777">
      <w:pPr>
        <w:spacing w:line="360" w:lineRule="auto"/>
        <w:jc w:val="both"/>
        <w:rPr>
          <w:rFonts w:asciiTheme="majorHAnsi" w:hAnsiTheme="majorHAnsi"/>
          <w:highlight w:val="yellow"/>
        </w:rPr>
      </w:pPr>
    </w:p>
    <w:p w:rsidRPr="00413778" w:rsidR="000A1DFB" w:rsidP="00413778" w:rsidRDefault="000A1DFB" w14:paraId="5A9A647F" w14:textId="77777777">
      <w:pPr>
        <w:spacing w:line="360" w:lineRule="auto"/>
        <w:jc w:val="both"/>
        <w:rPr>
          <w:rFonts w:asciiTheme="majorHAnsi" w:hAnsiTheme="majorHAnsi"/>
          <w:highlight w:val="yellow"/>
        </w:rPr>
      </w:pPr>
    </w:p>
    <w:p w:rsidR="000A1DFB" w:rsidP="000A1DFB" w:rsidRDefault="000A1DFB" w14:paraId="6D72DB65" w14:textId="777777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Gerencia</w:t>
      </w:r>
    </w:p>
    <w:p w:rsidRPr="000A1DFB" w:rsidR="00562660" w:rsidP="000A1DFB" w:rsidRDefault="000A1DFB" w14:paraId="3BF5A4FE" w14:textId="65B67D0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Sant Just Desvern, a 8 de diciembre de 2020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Pr="000A1DFB" w:rsidR="0056266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C9B"/>
    <w:multiLevelType w:val="hybridMultilevel"/>
    <w:tmpl w:val="FA7AB764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BD37432"/>
    <w:multiLevelType w:val="hybridMultilevel"/>
    <w:tmpl w:val="C8B0C3F0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2707D01"/>
    <w:multiLevelType w:val="hybridMultilevel"/>
    <w:tmpl w:val="D70801E2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78"/>
    <w:rsid w:val="000A1DFB"/>
    <w:rsid w:val="00413778"/>
    <w:rsid w:val="00562660"/>
    <w:rsid w:val="0212AB49"/>
    <w:rsid w:val="635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803E"/>
  <w15:chartTrackingRefBased/>
  <w15:docId w15:val="{F35D2AA5-E24F-4E0E-BE48-41F23DE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377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32308A5E74341BCF2670EF803E83A" ma:contentTypeVersion="13" ma:contentTypeDescription="Crear nuevo documento." ma:contentTypeScope="" ma:versionID="9ed335a539d7618d0d1bf17c0a17b444">
  <xsd:schema xmlns:xsd="http://www.w3.org/2001/XMLSchema" xmlns:xs="http://www.w3.org/2001/XMLSchema" xmlns:p="http://schemas.microsoft.com/office/2006/metadata/properties" xmlns:ns2="853d08ae-9a1a-4c3b-97cd-25c8a6b66590" targetNamespace="http://schemas.microsoft.com/office/2006/metadata/properties" ma:root="true" ma:fieldsID="4bcb866c6dabcc166a465399f19c2a3c" ns2:_="">
    <xsd:import namespace="853d08ae-9a1a-4c3b-97cd-25c8a6b66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gistros" minOccurs="0"/>
                <xsd:element ref="ns2:Estado" minOccurs="0"/>
                <xsd:element ref="ns2:MediaLengthInSeconds" minOccurs="0"/>
                <xsd:element ref="ns2:Comentario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d08ae-9a1a-4c3b-97cd-25c8a6b6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os" ma:index="16" nillable="true" ma:displayName="Registros" ma:format="Hyperlink" ma:internalName="Registr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 " ma:format="Dropdown" ma:internalName="Estado">
      <xsd:simpleType>
        <xsd:restriction base="dms:Choice">
          <xsd:enumeration value="Aprobado"/>
          <xsd:enumeration value="Obsoleto"/>
          <xsd:enumeration value="Pendiente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Comentario" ma:index="19" nillable="true" ma:displayName="Comentario" ma:format="Dropdown" ma:internalName="Comentario">
      <xsd:simpleType>
        <xsd:restriction base="dms:Text">
          <xsd:maxLength value="255"/>
        </xsd:restriction>
      </xsd:simpleType>
    </xsd:element>
    <xsd:element name="Comentarios" ma:index="20" nillable="true" ma:displayName="Comentarios" ma:format="Dropdown" ma:internalName="Comentario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853d08ae-9a1a-4c3b-97cd-25c8a6b66590" xsi:nil="true"/>
    <Registros xmlns="853d08ae-9a1a-4c3b-97cd-25c8a6b66590">
      <Url xsi:nil="true"/>
      <Description xsi:nil="true"/>
    </Registros>
    <Comentarios xmlns="853d08ae-9a1a-4c3b-97cd-25c8a6b66590" xsi:nil="true"/>
    <Comentario xmlns="853d08ae-9a1a-4c3b-97cd-25c8a6b66590" xsi:nil="true"/>
  </documentManagement>
</p:properties>
</file>

<file path=customXml/itemProps1.xml><?xml version="1.0" encoding="utf-8"?>
<ds:datastoreItem xmlns:ds="http://schemas.openxmlformats.org/officeDocument/2006/customXml" ds:itemID="{0F76EF8D-3CD4-4645-AE8C-09A3929FB264}"/>
</file>

<file path=customXml/itemProps2.xml><?xml version="1.0" encoding="utf-8"?>
<ds:datastoreItem xmlns:ds="http://schemas.openxmlformats.org/officeDocument/2006/customXml" ds:itemID="{88E98D74-859B-4B30-9A37-D64C659E893C}"/>
</file>

<file path=customXml/itemProps3.xml><?xml version="1.0" encoding="utf-8"?>
<ds:datastoreItem xmlns:ds="http://schemas.openxmlformats.org/officeDocument/2006/customXml" ds:itemID="{BAC7B371-5327-4D61-8768-3D557B57A6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Rogelio Marquez Quintero</lastModifiedBy>
  <revision>3</revision>
  <lastPrinted>2020-12-21T21:52:00.0000000Z</lastPrinted>
  <dcterms:created xsi:type="dcterms:W3CDTF">2020-12-21T20:58:00.0000000Z</dcterms:created>
  <dcterms:modified xsi:type="dcterms:W3CDTF">2022-03-31T10:53:40.7177928Z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0x010100A5032308A5E74341BCF2670EF803E83A</vt:lpwstr>
  </property>
</Properties>
</file>